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E" w:rsidRPr="00F84E23" w:rsidRDefault="00AE5E5E" w:rsidP="00AE5E5E">
      <w:pPr>
        <w:jc w:val="right"/>
        <w:rPr>
          <w:b/>
          <w:sz w:val="24"/>
          <w:szCs w:val="24"/>
        </w:rPr>
      </w:pPr>
      <w:r w:rsidRPr="00F84E23">
        <w:rPr>
          <w:b/>
          <w:sz w:val="24"/>
          <w:szCs w:val="24"/>
        </w:rPr>
        <w:t xml:space="preserve">Образец № 6 </w:t>
      </w:r>
    </w:p>
    <w:p w:rsidR="00AE5E5E" w:rsidRPr="00F84E23" w:rsidRDefault="00AE5E5E" w:rsidP="00AE5E5E">
      <w:pPr>
        <w:tabs>
          <w:tab w:val="num" w:pos="0"/>
        </w:tabs>
        <w:ind w:firstLine="720"/>
        <w:jc w:val="right"/>
        <w:rPr>
          <w:i/>
          <w:sz w:val="24"/>
          <w:szCs w:val="24"/>
        </w:rPr>
      </w:pPr>
    </w:p>
    <w:p w:rsidR="00AE5E5E" w:rsidRPr="00F84E23" w:rsidRDefault="00AE5E5E" w:rsidP="00AE5E5E">
      <w:pPr>
        <w:spacing w:before="120"/>
        <w:jc w:val="center"/>
        <w:rPr>
          <w:b/>
          <w:bCs/>
          <w:sz w:val="24"/>
          <w:szCs w:val="24"/>
        </w:rPr>
      </w:pPr>
      <w:r w:rsidRPr="00F84E23">
        <w:rPr>
          <w:b/>
          <w:bCs/>
          <w:sz w:val="24"/>
          <w:szCs w:val="24"/>
        </w:rPr>
        <w:t>ТЕХНИЧЕСКО ПРЕДЛОЖЕНИЕ (ОФЕРТА)</w:t>
      </w:r>
    </w:p>
    <w:p w:rsidR="00AE5E5E" w:rsidRPr="00F84E23" w:rsidRDefault="00AE5E5E" w:rsidP="00AE5E5E">
      <w:pPr>
        <w:spacing w:before="120"/>
        <w:jc w:val="center"/>
        <w:rPr>
          <w:b/>
          <w:bCs/>
          <w:sz w:val="24"/>
          <w:szCs w:val="24"/>
        </w:rPr>
      </w:pPr>
    </w:p>
    <w:p w:rsidR="00AE5E5E" w:rsidRPr="00F84E23" w:rsidRDefault="00AE5E5E" w:rsidP="00AE5E5E">
      <w:pPr>
        <w:ind w:firstLine="720"/>
        <w:jc w:val="both"/>
        <w:rPr>
          <w:sz w:val="24"/>
          <w:szCs w:val="24"/>
        </w:rPr>
      </w:pPr>
    </w:p>
    <w:tbl>
      <w:tblPr>
        <w:tblW w:w="92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556"/>
      </w:tblGrid>
      <w:tr w:rsidR="00AE5E5E" w:rsidRPr="00F84E23" w:rsidTr="00267CAF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5E" w:rsidRPr="00F84E23" w:rsidRDefault="00AE5E5E" w:rsidP="00267CAF">
            <w:pPr>
              <w:jc w:val="center"/>
              <w:rPr>
                <w:sz w:val="24"/>
                <w:szCs w:val="24"/>
                <w:lang w:val="x-none" w:eastAsia="en-US"/>
              </w:rPr>
            </w:pPr>
            <w:r w:rsidRPr="00F84E23">
              <w:rPr>
                <w:bCs/>
                <w:sz w:val="24"/>
                <w:szCs w:val="24"/>
                <w:lang w:val="x-none" w:eastAsia="en-US"/>
              </w:rPr>
              <w:t>Наименование на поръчката:</w:t>
            </w:r>
          </w:p>
        </w:tc>
        <w:tc>
          <w:tcPr>
            <w:tcW w:w="6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5E" w:rsidRPr="00F84E23" w:rsidRDefault="00AE5E5E" w:rsidP="00267CA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84E23">
              <w:rPr>
                <w:b/>
                <w:sz w:val="24"/>
                <w:szCs w:val="24"/>
              </w:rPr>
              <w:t>„Предоставяне на мобилни телефонни услуги, достъп до обществена фиксирана мрежа, предоставяне на гласова телефонна и факс услуга и предоставяне на гарантиран интернет достъп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      </w:r>
          </w:p>
        </w:tc>
      </w:tr>
    </w:tbl>
    <w:p w:rsidR="00AE5E5E" w:rsidRPr="00F84E23" w:rsidRDefault="00AE5E5E" w:rsidP="00AE5E5E">
      <w:pPr>
        <w:ind w:firstLine="720"/>
        <w:jc w:val="both"/>
        <w:rPr>
          <w:sz w:val="24"/>
          <w:szCs w:val="24"/>
        </w:rPr>
      </w:pPr>
    </w:p>
    <w:p w:rsidR="00AE5E5E" w:rsidRPr="00F84E23" w:rsidRDefault="00AE5E5E" w:rsidP="00AE5E5E">
      <w:pPr>
        <w:ind w:firstLine="720"/>
        <w:jc w:val="both"/>
        <w:rPr>
          <w:sz w:val="24"/>
          <w:szCs w:val="24"/>
        </w:rPr>
      </w:pPr>
    </w:p>
    <w:p w:rsidR="00AE5E5E" w:rsidRPr="00F84E23" w:rsidRDefault="00AE5E5E" w:rsidP="00AE5E5E">
      <w:pPr>
        <w:spacing w:before="120"/>
        <w:ind w:firstLine="851"/>
        <w:rPr>
          <w:b/>
          <w:bCs/>
          <w:sz w:val="24"/>
          <w:szCs w:val="24"/>
        </w:rPr>
      </w:pPr>
      <w:r w:rsidRPr="00F84E23">
        <w:rPr>
          <w:b/>
          <w:bCs/>
          <w:sz w:val="24"/>
          <w:szCs w:val="24"/>
        </w:rPr>
        <w:t>УВАЖАЕМИ ДАМИ И ГОСПОДА,</w:t>
      </w:r>
    </w:p>
    <w:p w:rsidR="00AE5E5E" w:rsidRPr="00F84E23" w:rsidRDefault="00AE5E5E" w:rsidP="00AE5E5E">
      <w:pPr>
        <w:spacing w:before="120"/>
        <w:ind w:firstLine="851"/>
        <w:rPr>
          <w:b/>
          <w:bCs/>
          <w:sz w:val="24"/>
          <w:szCs w:val="24"/>
        </w:rPr>
      </w:pPr>
    </w:p>
    <w:p w:rsidR="00AE5E5E" w:rsidRPr="00F84E23" w:rsidRDefault="00AE5E5E" w:rsidP="00AE5E5E">
      <w:pPr>
        <w:ind w:firstLine="720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Във връзка с обявената обществена поръчка, Ви представяме нашето техническо предложение, както следва:</w:t>
      </w:r>
    </w:p>
    <w:p w:rsidR="00AE5E5E" w:rsidRPr="00F84E23" w:rsidRDefault="00AE5E5E" w:rsidP="00AE5E5E">
      <w:pPr>
        <w:ind w:firstLine="720"/>
        <w:jc w:val="both"/>
        <w:rPr>
          <w:sz w:val="24"/>
          <w:szCs w:val="24"/>
        </w:rPr>
      </w:pPr>
    </w:p>
    <w:p w:rsidR="00AE5E5E" w:rsidRPr="00F84E23" w:rsidRDefault="00AE5E5E" w:rsidP="00AE5E5E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             Предлагаме да изпълним поръчката, съгласно изискванията на Възложителя при следните условия:</w:t>
      </w:r>
    </w:p>
    <w:p w:rsidR="00AE5E5E" w:rsidRPr="00F84E23" w:rsidRDefault="00AE5E5E" w:rsidP="00AE5E5E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>Посочва се виждането на участника относно изпълнение на изискванията в Техническото задание:</w:t>
      </w:r>
    </w:p>
    <w:p w:rsidR="00AE5E5E" w:rsidRPr="00F84E23" w:rsidRDefault="00AE5E5E" w:rsidP="00AE5E5E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>1. Предоставяне на  съобщителни услуги чрез мобилна наземна мрежа по стандарт GSM/UMTS с национално покритие, в т.ч. предоставяне на 40  бр. SIM карти и възможност за допълнителна доставка, при необходимост, до 30 броя, с предоставяне на съобщителна  услуга:</w:t>
      </w:r>
    </w:p>
    <w:tbl>
      <w:tblPr>
        <w:tblW w:w="90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353"/>
      </w:tblGrid>
      <w:tr w:rsidR="00AE5E5E" w:rsidRPr="00F84E23" w:rsidTr="00267CAF">
        <w:tc>
          <w:tcPr>
            <w:tcW w:w="4677" w:type="dxa"/>
          </w:tcPr>
          <w:p w:rsidR="00AE5E5E" w:rsidRPr="00F84E23" w:rsidRDefault="00AE5E5E" w:rsidP="00267CA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84E23">
              <w:rPr>
                <w:b/>
                <w:sz w:val="24"/>
                <w:szCs w:val="24"/>
                <w:lang w:eastAsia="en-US"/>
              </w:rPr>
              <w:t xml:space="preserve">І. Технически изисквания 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360"/>
              <w:rPr>
                <w:b/>
                <w:sz w:val="24"/>
                <w:szCs w:val="24"/>
                <w:lang w:eastAsia="en-US"/>
              </w:rPr>
            </w:pPr>
            <w:r w:rsidRPr="00F84E23">
              <w:rPr>
                <w:b/>
                <w:sz w:val="24"/>
                <w:szCs w:val="24"/>
                <w:lang w:eastAsia="en-US"/>
              </w:rPr>
              <w:t>Предложение на Участника</w:t>
            </w: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267C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360"/>
              <w:rPr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AE5E5E">
            <w:pPr>
              <w:numPr>
                <w:ilvl w:val="0"/>
                <w:numId w:val="2"/>
              </w:numPr>
              <w:spacing w:after="200"/>
              <w:ind w:left="0" w:firstLine="34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E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Участникът да предложи  услуги чрез обществена електронна  мрежа по стандарт GSM </w:t>
            </w:r>
            <w:r w:rsidRPr="00F84E23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r w:rsidRPr="00F84E23">
              <w:rPr>
                <w:rFonts w:eastAsia="Calibri"/>
                <w:sz w:val="24"/>
                <w:szCs w:val="24"/>
                <w:lang w:eastAsia="en-US"/>
              </w:rPr>
              <w:t>UMTS</w:t>
            </w:r>
            <w:r w:rsidRPr="00F84E2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84E2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 национално покритие за нуждите на експлоатационната дейност на Възложителя. 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AE5E5E">
            <w:pPr>
              <w:numPr>
                <w:ilvl w:val="0"/>
                <w:numId w:val="2"/>
              </w:numPr>
              <w:spacing w:after="200"/>
              <w:ind w:left="0" w:firstLine="49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E23">
              <w:rPr>
                <w:rFonts w:eastAsia="Calibri"/>
                <w:sz w:val="24"/>
                <w:szCs w:val="24"/>
                <w:lang w:eastAsia="en-US"/>
              </w:rPr>
              <w:t xml:space="preserve">Качеството на услугите, предоставяни от обществения далекосъобщителен оператор, трябва да бъде в съответствие с изискванията, предвидени в индивидуалната му лицензия, респективно в разрешението за осъществяване на електронни съобщения чрез обществена далекосъобщителна подвижна клетъчна мрежа по стандарт </w:t>
            </w:r>
            <w:r w:rsidRPr="00F84E23">
              <w:rPr>
                <w:rFonts w:eastAsia="Calibri"/>
                <w:sz w:val="24"/>
                <w:szCs w:val="24"/>
                <w:lang w:val="en-US" w:eastAsia="en-US"/>
              </w:rPr>
              <w:t>GSM</w:t>
            </w:r>
            <w:r w:rsidRPr="00F84E23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F84E23">
              <w:rPr>
                <w:rFonts w:eastAsia="Calibri"/>
                <w:sz w:val="24"/>
                <w:szCs w:val="24"/>
                <w:lang w:val="en-US" w:eastAsia="en-US"/>
              </w:rPr>
              <w:t>UMTS</w:t>
            </w:r>
            <w:r w:rsidRPr="00F84E23">
              <w:rPr>
                <w:rFonts w:eastAsia="Calibri"/>
                <w:sz w:val="24"/>
                <w:szCs w:val="24"/>
                <w:lang w:eastAsia="en-US"/>
              </w:rPr>
              <w:t xml:space="preserve"> с национално покритие, </w:t>
            </w:r>
            <w:r w:rsidRPr="00F84E23">
              <w:rPr>
                <w:rFonts w:eastAsia="Calibri"/>
                <w:sz w:val="24"/>
                <w:szCs w:val="24"/>
                <w:lang w:eastAsia="en-US"/>
              </w:rPr>
              <w:lastRenderedPageBreak/>
              <w:t>издадено от Комисията за регулиране на съобщенията, в съответствие с Общите правила за взаимоотношения с крайните потребители, съгласувани с Комисията за регулиране на съобщенията и в съответствие с изискванията на Закона за електронните съобщения.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267CAF">
            <w:pPr>
              <w:autoSpaceDE w:val="0"/>
              <w:autoSpaceDN w:val="0"/>
              <w:spacing w:after="200"/>
              <w:ind w:right="1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E23">
              <w:rPr>
                <w:rFonts w:eastAsia="Calibri"/>
                <w:sz w:val="24"/>
                <w:szCs w:val="24"/>
                <w:lang w:eastAsia="en-US"/>
              </w:rPr>
              <w:lastRenderedPageBreak/>
              <w:t>3. Трябва да бъде посочен процент на неуспешните повиквания за национални повиквания в мобилна мрежа - доказва се с декларация. Декларираният процент следва да е процентът, измерен за всички абонати в мрежата на кандидата за пълна предходна календарна година и вписан като параметър за измерване на качеството на мобилната услуга съгласно Приложение № 5 към чл. 38 на Общи изисквания при осъществяване на обществени електронни съобщения.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267CA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F84E23">
              <w:rPr>
                <w:bCs/>
                <w:sz w:val="24"/>
                <w:szCs w:val="24"/>
                <w:lang w:eastAsia="en-US"/>
              </w:rPr>
              <w:t>4. Трябва да бъде осигурена възможност за провеждане на разговори и ползване услуги в мрежата на участника, провеждане на разговори с абонати на други оператори /на мобилни и фиксирани мрежи/, провеждане на разговори в корпоративна група, провеждане на международни разговори с мобилни и фиксирани мрежи (по международни зони), провеждане разговори в роуминг, изпращане на кратки текстови съобщения.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rPr>
          <w:trHeight w:val="2226"/>
        </w:trPr>
        <w:tc>
          <w:tcPr>
            <w:tcW w:w="4677" w:type="dxa"/>
          </w:tcPr>
          <w:p w:rsidR="00AE5E5E" w:rsidRPr="00F84E23" w:rsidRDefault="00AE5E5E" w:rsidP="00267CAF">
            <w:pPr>
              <w:ind w:firstLine="349"/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5. Да бъде осигурена възможност за провеждане на разговори и услуги в рамките на мобилна мрежа в корпоративна  група и извън нея. Разговори към други мобилни оператори и фиксирани мрежи, роуминг, международни разговори.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267CAF">
            <w:pPr>
              <w:ind w:firstLine="349"/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6. Да се предоставят 40  бр. SIM карти и възможност за допълнителна доставка при необходимоста до 30 броя ;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267CAF">
            <w:pPr>
              <w:ind w:firstLine="349"/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bCs/>
                <w:sz w:val="24"/>
                <w:szCs w:val="24"/>
                <w:lang w:eastAsia="en-US"/>
              </w:rPr>
              <w:t>7. К</w:t>
            </w:r>
            <w:r w:rsidRPr="00F84E23">
              <w:rPr>
                <w:sz w:val="24"/>
                <w:szCs w:val="24"/>
                <w:lang w:eastAsia="en-US"/>
              </w:rPr>
              <w:t>редитни лимити на SIM картите – по избор на Възложителя с възможност за промяна;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rPr>
          <w:trHeight w:val="1037"/>
        </w:trPr>
        <w:tc>
          <w:tcPr>
            <w:tcW w:w="4677" w:type="dxa"/>
          </w:tcPr>
          <w:p w:rsidR="00AE5E5E" w:rsidRPr="00F84E23" w:rsidRDefault="00AE5E5E" w:rsidP="00267CAF">
            <w:pPr>
              <w:shd w:val="clear" w:color="auto" w:fill="FFFFFF"/>
              <w:tabs>
                <w:tab w:val="left" w:pos="426"/>
                <w:tab w:val="left" w:pos="1418"/>
              </w:tabs>
              <w:spacing w:after="200"/>
              <w:ind w:firstLine="349"/>
              <w:contextualSpacing/>
              <w:jc w:val="both"/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</w:pPr>
            <w:r w:rsidRPr="00F84E23"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  <w:t>8. Първоначален период на таксуване – 60 секунди, а след това тарифиране на 1/една/ секунда.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267CAF">
            <w:pPr>
              <w:ind w:firstLine="349"/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9. Дубликат на открадната или изгубена карта;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36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267CAF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lastRenderedPageBreak/>
              <w:t>Предложение за запазване или пренос на съществуващите номера. Описани в Списък №2.</w:t>
            </w:r>
          </w:p>
          <w:p w:rsidR="00AE5E5E" w:rsidRPr="00F84E23" w:rsidRDefault="00AE5E5E" w:rsidP="00267CAF">
            <w:pPr>
              <w:ind w:firstLine="34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</w:tcPr>
          <w:p w:rsidR="00AE5E5E" w:rsidRPr="00F84E23" w:rsidRDefault="00AE5E5E" w:rsidP="00267CAF">
            <w:pPr>
              <w:spacing w:after="200"/>
              <w:ind w:left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267CAF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Корпоративната група да включва всички номера на SIM карти на Възложителя, предоставени от един оператор.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spacing w:after="200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rPr>
          <w:trHeight w:val="872"/>
        </w:trPr>
        <w:tc>
          <w:tcPr>
            <w:tcW w:w="4677" w:type="dxa"/>
          </w:tcPr>
          <w:p w:rsidR="00AE5E5E" w:rsidRPr="00F84E23" w:rsidRDefault="00AE5E5E" w:rsidP="00267C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after="200"/>
              <w:ind w:left="0" w:firstLine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E23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Предоставяне на услуга "мобилен достъп до интернет" за ползване чрез </w:t>
            </w:r>
            <w:r w:rsidRPr="00F84E23">
              <w:rPr>
                <w:rFonts w:eastAsia="Calibri"/>
                <w:color w:val="000000"/>
                <w:spacing w:val="-1"/>
                <w:sz w:val="24"/>
                <w:szCs w:val="24"/>
                <w:lang w:val="en-US" w:eastAsia="en-US"/>
              </w:rPr>
              <w:t>SIM</w:t>
            </w:r>
            <w:r w:rsidRPr="00F84E23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 картите на Възложителя.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E5E5E" w:rsidRPr="00F84E23" w:rsidRDefault="00AE5E5E" w:rsidP="00267C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267CAF">
            <w:pPr>
              <w:numPr>
                <w:ilvl w:val="0"/>
                <w:numId w:val="1"/>
              </w:numPr>
              <w:ind w:left="0" w:right="19" w:firstLine="360"/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 xml:space="preserve">Участникът предлага допълнителни услуги подпомагащи  дейността на Възложителя: 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AE5E5E">
            <w:pPr>
              <w:numPr>
                <w:ilvl w:val="1"/>
                <w:numId w:val="3"/>
              </w:numPr>
              <w:shd w:val="clear" w:color="auto" w:fill="FFFFFF"/>
              <w:tabs>
                <w:tab w:val="left" w:pos="774"/>
              </w:tabs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E2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След уведомяване от страна на Възложителя по всяко време от срока на действие на договора да извършва промяна на броя на ползваните </w:t>
            </w:r>
            <w:r w:rsidRPr="00F84E2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SIM</w:t>
            </w:r>
            <w:r w:rsidRPr="00F84E2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карти и услуги (увеличение, намаление на броя сим карти, прехвърляне на външно лице, активиране или деактивиране на роуминг, кредитен лимит и други услуги).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AE5E5E">
            <w:pPr>
              <w:numPr>
                <w:ilvl w:val="1"/>
                <w:numId w:val="3"/>
              </w:numPr>
              <w:shd w:val="clear" w:color="auto" w:fill="FFFFFF"/>
              <w:tabs>
                <w:tab w:val="left" w:pos="774"/>
                <w:tab w:val="left" w:pos="1134"/>
              </w:tabs>
              <w:spacing w:after="20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4E23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F84E23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съществяване на гаранционен и след </w:t>
            </w:r>
            <w:r w:rsidRPr="00F84E2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гаранционен сервиз на мобилните апарати, собственост на </w:t>
            </w:r>
            <w:r w:rsidRPr="00F84E23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Възложителя</w:t>
            </w:r>
            <w:r w:rsidRPr="00F84E23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AE5E5E">
            <w:pPr>
              <w:numPr>
                <w:ilvl w:val="1"/>
                <w:numId w:val="3"/>
              </w:numPr>
              <w:shd w:val="clear" w:color="auto" w:fill="FFFFFF"/>
              <w:tabs>
                <w:tab w:val="left" w:pos="993"/>
                <w:tab w:val="left" w:pos="1382"/>
              </w:tabs>
              <w:spacing w:after="200"/>
              <w:contextualSpacing/>
              <w:jc w:val="both"/>
              <w:rPr>
                <w:rFonts w:eastAsia="Calibri"/>
                <w:color w:val="000000"/>
                <w:spacing w:val="-19"/>
                <w:sz w:val="24"/>
                <w:szCs w:val="24"/>
                <w:lang w:eastAsia="en-US"/>
              </w:rPr>
            </w:pPr>
            <w:r w:rsidRPr="00F84E23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Предоставяне на електронни съобщителни услуги чрез </w:t>
            </w:r>
            <w:r w:rsidRPr="00F84E23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мобилна наземна мрежа по стандарт GSM/UMTS при преференциални условия на служители на Възложителя и техните семейства като ползватели извън корпоративната група в качеството си на физически лица.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E5E" w:rsidRPr="00F84E23" w:rsidTr="00267CAF">
        <w:tc>
          <w:tcPr>
            <w:tcW w:w="4677" w:type="dxa"/>
          </w:tcPr>
          <w:p w:rsidR="00AE5E5E" w:rsidRPr="00F84E23" w:rsidRDefault="00AE5E5E" w:rsidP="00AE5E5E">
            <w:pPr>
              <w:numPr>
                <w:ilvl w:val="1"/>
                <w:numId w:val="3"/>
              </w:numPr>
              <w:shd w:val="clear" w:color="auto" w:fill="FFFFFF"/>
              <w:tabs>
                <w:tab w:val="left" w:pos="993"/>
                <w:tab w:val="left" w:pos="1382"/>
              </w:tabs>
              <w:spacing w:after="200"/>
              <w:contextualSpacing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F84E23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Предоставяне на безплатни мобилни телефони</w:t>
            </w:r>
          </w:p>
        </w:tc>
        <w:tc>
          <w:tcPr>
            <w:tcW w:w="4353" w:type="dxa"/>
          </w:tcPr>
          <w:p w:rsidR="00AE5E5E" w:rsidRPr="00F84E23" w:rsidRDefault="00AE5E5E" w:rsidP="00267CAF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5E5E" w:rsidRPr="00F84E23" w:rsidRDefault="00AE5E5E" w:rsidP="00AE5E5E">
      <w:pPr>
        <w:tabs>
          <w:tab w:val="left" w:pos="284"/>
        </w:tabs>
        <w:jc w:val="both"/>
        <w:rPr>
          <w:sz w:val="24"/>
          <w:szCs w:val="24"/>
        </w:rPr>
      </w:pPr>
    </w:p>
    <w:p w:rsidR="00AE5E5E" w:rsidRPr="00F84E23" w:rsidRDefault="00AE5E5E" w:rsidP="00AE5E5E">
      <w:pPr>
        <w:tabs>
          <w:tab w:val="left" w:pos="284"/>
        </w:tabs>
        <w:ind w:right="-6"/>
        <w:jc w:val="both"/>
        <w:rPr>
          <w:sz w:val="24"/>
          <w:szCs w:val="24"/>
        </w:rPr>
      </w:pPr>
    </w:p>
    <w:p w:rsidR="00AE5E5E" w:rsidRPr="00F84E23" w:rsidRDefault="00AE5E5E" w:rsidP="00AE5E5E">
      <w:pPr>
        <w:tabs>
          <w:tab w:val="left" w:pos="284"/>
        </w:tabs>
        <w:ind w:right="-6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2.</w:t>
      </w:r>
      <w:r w:rsidRPr="00F84E23">
        <w:rPr>
          <w:sz w:val="24"/>
          <w:szCs w:val="24"/>
        </w:rPr>
        <w:tab/>
        <w:t>Предоставяне на достъп до обществена фиксирана мрежа, предоставяне на гласова телефонна и факс услуга и предоставяне на гарантиран Интернет достъп, в т.ч. предоставяне на:</w:t>
      </w:r>
    </w:p>
    <w:p w:rsidR="00AE5E5E" w:rsidRPr="00F84E23" w:rsidRDefault="00AE5E5E" w:rsidP="00AE5E5E">
      <w:pPr>
        <w:tabs>
          <w:tab w:val="left" w:pos="284"/>
        </w:tabs>
        <w:ind w:right="-6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-</w:t>
      </w:r>
      <w:r w:rsidRPr="00F84E23">
        <w:rPr>
          <w:sz w:val="24"/>
          <w:szCs w:val="24"/>
        </w:rPr>
        <w:tab/>
        <w:t xml:space="preserve">12 броя обикновени  телефонни поста </w:t>
      </w:r>
    </w:p>
    <w:p w:rsidR="00AE5E5E" w:rsidRPr="00F84E23" w:rsidRDefault="00AE5E5E" w:rsidP="00AE5E5E">
      <w:pPr>
        <w:tabs>
          <w:tab w:val="left" w:pos="284"/>
        </w:tabs>
        <w:ind w:right="-6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-</w:t>
      </w:r>
      <w:r w:rsidRPr="00F84E23">
        <w:rPr>
          <w:sz w:val="24"/>
          <w:szCs w:val="24"/>
        </w:rPr>
        <w:tab/>
        <w:t>Гарантиран достъп до Интернет с гарантиран симетричен капацитет мин. 2 Mbps международен достъп и 8 Mbps – мин. българско интернет пространство, без ограничение на месечния лимит.</w:t>
      </w:r>
    </w:p>
    <w:p w:rsidR="00AE5E5E" w:rsidRPr="00F84E23" w:rsidRDefault="00AE5E5E" w:rsidP="00AE5E5E">
      <w:pPr>
        <w:tabs>
          <w:tab w:val="left" w:pos="284"/>
        </w:tabs>
        <w:ind w:right="-6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-</w:t>
      </w:r>
      <w:r w:rsidRPr="00F84E23">
        <w:rPr>
          <w:sz w:val="24"/>
          <w:szCs w:val="24"/>
        </w:rPr>
        <w:tab/>
        <w:t>Факс услуга 1 брой</w:t>
      </w:r>
    </w:p>
    <w:p w:rsidR="00AE5E5E" w:rsidRPr="00F84E23" w:rsidRDefault="00AE5E5E" w:rsidP="00AE5E5E">
      <w:pPr>
        <w:jc w:val="both"/>
        <w:rPr>
          <w:sz w:val="24"/>
          <w:szCs w:val="24"/>
        </w:rPr>
      </w:pPr>
    </w:p>
    <w:p w:rsidR="00AE5E5E" w:rsidRPr="00F84E23" w:rsidRDefault="00AE5E5E" w:rsidP="00AE5E5E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lastRenderedPageBreak/>
        <w:t>Посочва се виждането на участника относно изпълнение на изискванията в Техническото задание:</w:t>
      </w:r>
    </w:p>
    <w:p w:rsidR="00AE5E5E" w:rsidRPr="00F84E23" w:rsidRDefault="00AE5E5E" w:rsidP="00AE5E5E">
      <w:pPr>
        <w:tabs>
          <w:tab w:val="left" w:pos="284"/>
        </w:tabs>
        <w:ind w:right="-6"/>
        <w:jc w:val="both"/>
        <w:rPr>
          <w:sz w:val="24"/>
          <w:szCs w:val="24"/>
        </w:rPr>
      </w:pPr>
    </w:p>
    <w:p w:rsidR="00AE5E5E" w:rsidRPr="00F84E23" w:rsidRDefault="00AE5E5E" w:rsidP="00AE5E5E">
      <w:pPr>
        <w:tabs>
          <w:tab w:val="left" w:pos="284"/>
        </w:tabs>
        <w:ind w:right="-6"/>
        <w:jc w:val="both"/>
        <w:rPr>
          <w:sz w:val="24"/>
          <w:szCs w:val="24"/>
        </w:rPr>
      </w:pPr>
    </w:p>
    <w:p w:rsidR="00AE5E5E" w:rsidRPr="00F84E23" w:rsidRDefault="00AE5E5E" w:rsidP="00AE5E5E">
      <w:pPr>
        <w:ind w:firstLine="720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Запознати сме и приемаме условията на проекта на договора</w:t>
      </w:r>
    </w:p>
    <w:p w:rsidR="00AE5E5E" w:rsidRPr="00F84E23" w:rsidRDefault="00AE5E5E" w:rsidP="00AE5E5E">
      <w:pPr>
        <w:spacing w:before="120"/>
        <w:ind w:left="2880"/>
        <w:jc w:val="center"/>
        <w:rPr>
          <w:bCs/>
          <w:sz w:val="24"/>
          <w:szCs w:val="24"/>
          <w:lang w:val="x-none" w:eastAsia="en-US"/>
        </w:rPr>
      </w:pPr>
    </w:p>
    <w:p w:rsidR="00AE5E5E" w:rsidRPr="00F84E23" w:rsidRDefault="00AE5E5E" w:rsidP="00AE5E5E">
      <w:pPr>
        <w:ind w:firstLine="720"/>
        <w:jc w:val="both"/>
        <w:rPr>
          <w:b/>
          <w:bCs/>
          <w:sz w:val="24"/>
          <w:szCs w:val="24"/>
        </w:rPr>
      </w:pPr>
      <w:r w:rsidRPr="00F84E23">
        <w:rPr>
          <w:b/>
          <w:bCs/>
          <w:sz w:val="24"/>
          <w:szCs w:val="24"/>
        </w:rPr>
        <w:t>   </w:t>
      </w:r>
    </w:p>
    <w:p w:rsidR="00AE5E5E" w:rsidRPr="00F84E23" w:rsidRDefault="00AE5E5E" w:rsidP="00AE5E5E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>....................... г.</w:t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  <w:t xml:space="preserve">Подпис и печат: ..............................  </w:t>
      </w:r>
    </w:p>
    <w:p w:rsidR="00AE5E5E" w:rsidRPr="00F84E23" w:rsidRDefault="00AE5E5E" w:rsidP="00AE5E5E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AE5E5E" w:rsidRPr="00F84E23" w:rsidRDefault="00AE5E5E" w:rsidP="00AE5E5E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  <w:t>(име и фамилия)</w:t>
      </w:r>
    </w:p>
    <w:p w:rsidR="00AE5E5E" w:rsidRPr="00F84E23" w:rsidRDefault="00AE5E5E" w:rsidP="00AE5E5E">
      <w:pPr>
        <w:jc w:val="both"/>
        <w:rPr>
          <w:sz w:val="24"/>
          <w:szCs w:val="24"/>
        </w:rPr>
      </w:pPr>
    </w:p>
    <w:p w:rsidR="006A4073" w:rsidRDefault="006A4073">
      <w:bookmarkStart w:id="0" w:name="_GoBack"/>
      <w:bookmarkEnd w:id="0"/>
    </w:p>
    <w:sectPr w:rsidR="006A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A4"/>
    <w:multiLevelType w:val="hybridMultilevel"/>
    <w:tmpl w:val="6B72682A"/>
    <w:lvl w:ilvl="0" w:tplc="AECC4B1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497A"/>
    <w:multiLevelType w:val="hybridMultilevel"/>
    <w:tmpl w:val="D580497E"/>
    <w:lvl w:ilvl="0" w:tplc="EF6ED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4D3F21"/>
    <w:multiLevelType w:val="multilevel"/>
    <w:tmpl w:val="44E8CA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E3"/>
    <w:rsid w:val="006A4073"/>
    <w:rsid w:val="007E44E3"/>
    <w:rsid w:val="00A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2014-06-10T13:59:00Z</dcterms:created>
  <dcterms:modified xsi:type="dcterms:W3CDTF">2014-06-10T13:59:00Z</dcterms:modified>
</cp:coreProperties>
</file>